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prior to </w:t>
      </w:r>
      <w:r w:rsidDel="00000000" w:rsidR="00000000" w:rsidRPr="00000000">
        <w:rPr>
          <w:rFonts w:ascii="Arial" w:cs="Arial" w:eastAsia="Arial" w:hAnsi="Arial"/>
          <w:color w:val="3c4043"/>
          <w:sz w:val="24"/>
          <w:szCs w:val="24"/>
          <w:highlight w:val="white"/>
          <w:rtl w:val="0"/>
        </w:rPr>
        <w:t xml:space="preserve">the execution of the first Call-Off Contract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tab/>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ed72Qwu3mJa87HCzN/NHmsP3MQ==">AMUW2mXCNCQYrqcvQjLpiANHYkl2kazI3ghYyiUdx0SZ5SXqEt5KVwTp3FDMgRP4eu9VxmrZUDHk3qPid4c9mxGLm8Grlb9XcHYBl0FZqt9x5Pdx1+I2pevHakyg8xRjWAVOWhuzn2oEipUGVgI/m8y6aMnUZD0whsbDRdNj9VmDMb+bntsjT1eZdhp4sjq8zpavIJQADSRj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